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8B3B4B">
        <w:rPr>
          <w:rFonts w:ascii="Arial" w:hAnsi="Arial" w:cs="Arial"/>
          <w:b/>
          <w:bCs/>
          <w:snapToGrid w:val="0"/>
          <w:sz w:val="24"/>
        </w:rPr>
        <w:t>2</w:t>
      </w:r>
      <w:r w:rsidR="0092177E">
        <w:rPr>
          <w:rFonts w:ascii="Arial" w:hAnsi="Arial" w:cs="Arial"/>
          <w:b/>
          <w:bCs/>
          <w:snapToGrid w:val="0"/>
          <w:sz w:val="24"/>
        </w:rPr>
        <w:t>-</w:t>
      </w:r>
      <w:r w:rsidR="008163DE" w:rsidRPr="008163DE">
        <w:rPr>
          <w:rFonts w:ascii="Arial" w:hAnsi="Arial" w:cs="Arial"/>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6F7C4C" w:rsidRPr="006F7C4C">
        <w:rPr>
          <w:rFonts w:ascii="Arial" w:hAnsi="Arial" w:cs="Arial"/>
          <w:b/>
          <w:bCs/>
          <w:snapToGrid w:val="0"/>
          <w:sz w:val="24"/>
        </w:rPr>
        <w:t>RP-211274</w:t>
      </w:r>
    </w:p>
    <w:p w:rsidR="00AB33E6" w:rsidRPr="00E172F6" w:rsidRDefault="00A173C3" w:rsidP="00AB33E6">
      <w:pPr>
        <w:wordWrap/>
        <w:adjustRightInd w:val="0"/>
        <w:snapToGrid w:val="0"/>
        <w:spacing w:line="360" w:lineRule="auto"/>
        <w:rPr>
          <w:rFonts w:ascii="Arial" w:hAnsi="Arial" w:cs="Arial"/>
          <w:b/>
          <w:bCs/>
          <w:snapToGrid w:val="0"/>
          <w:sz w:val="24"/>
          <w:lang w:val="en-GB"/>
        </w:rPr>
      </w:pPr>
      <w:r w:rsidRPr="00A173C3">
        <w:rPr>
          <w:rFonts w:ascii="Arial" w:hAnsi="Arial" w:cs="Arial"/>
          <w:b/>
          <w:bCs/>
          <w:snapToGrid w:val="0"/>
          <w:sz w:val="24"/>
          <w:lang w:val="en-GB"/>
        </w:rPr>
        <w:t xml:space="preserve">Electronic Meeting, </w:t>
      </w:r>
      <w:r w:rsidR="008B3B4B" w:rsidRPr="008B3B4B">
        <w:rPr>
          <w:rFonts w:ascii="Arial" w:hAnsi="Arial" w:cs="Arial"/>
          <w:b/>
          <w:bCs/>
          <w:snapToGrid w:val="0"/>
          <w:sz w:val="24"/>
          <w:lang w:val="en-GB"/>
        </w:rPr>
        <w:t>June 14 - 18, 2021</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6F7C4C" w:rsidRPr="006F7C4C">
        <w:rPr>
          <w:rFonts w:ascii="Arial" w:hAnsi="Arial" w:cs="Arial"/>
          <w:snapToGrid w:val="0"/>
          <w:sz w:val="24"/>
        </w:rPr>
        <w:t>9.6.2</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6F7C4C" w:rsidRPr="006F7C4C">
        <w:rPr>
          <w:rFonts w:ascii="Arial" w:hAnsi="Arial" w:cs="Arial"/>
          <w:snapToGrid w:val="0"/>
          <w:sz w:val="24"/>
        </w:rPr>
        <w:t>Discussion and proposed changes for positioning for V2X and public safety</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AA30BC">
        <w:rPr>
          <w:rFonts w:ascii="Arial" w:hAnsi="Arial" w:cs="Arial" w:hint="eastAsia"/>
          <w:snapToGrid w:val="0"/>
          <w:sz w:val="24"/>
        </w:rPr>
        <w:t>Discussion</w:t>
      </w:r>
    </w:p>
    <w:bookmarkEnd w:id="0"/>
    <w:bookmarkEnd w:id="1"/>
    <w:p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p>
    <w:p w:rsidR="00AA30BC" w:rsidRPr="00381A04" w:rsidRDefault="00A7159B" w:rsidP="00AA30BC">
      <w:pPr>
        <w:widowControl/>
        <w:ind w:firstLine="360"/>
        <w:rPr>
          <w:rFonts w:ascii="Times New Roman"/>
          <w:szCs w:val="20"/>
        </w:rPr>
      </w:pPr>
      <w:r>
        <w:rPr>
          <w:rFonts w:ascii="Times New Roman"/>
          <w:szCs w:val="20"/>
          <w:lang w:val="en-GB"/>
        </w:rPr>
        <w:t>This contribution discusses changes necessary to update TR 38.845 “</w:t>
      </w:r>
      <w:r w:rsidRPr="00A7159B">
        <w:rPr>
          <w:rFonts w:ascii="Times New Roman"/>
          <w:szCs w:val="20"/>
          <w:lang w:val="en-GB"/>
        </w:rPr>
        <w:t>Study on scenarios and requirements of in-coverage, partial coverage, and out-of-coverage NR positioning use cases</w:t>
      </w:r>
      <w:r>
        <w:rPr>
          <w:rFonts w:ascii="Times New Roman"/>
          <w:szCs w:val="20"/>
          <w:lang w:val="en-GB"/>
        </w:rPr>
        <w:t xml:space="preserve">.” </w:t>
      </w:r>
      <w:r w:rsidR="00C004CA">
        <w:rPr>
          <w:rFonts w:ascii="Times New Roman"/>
          <w:szCs w:val="20"/>
          <w:lang w:val="en-GB"/>
        </w:rPr>
        <w:t xml:space="preserve">The proposed changes are enclosed in this contribution. This contribution </w:t>
      </w:r>
      <w:r>
        <w:rPr>
          <w:rFonts w:ascii="Times New Roman"/>
          <w:szCs w:val="20"/>
          <w:lang w:val="en-GB"/>
        </w:rPr>
        <w:t>also proposes to send the updated TR to the relevant organizations in response to their request for review.</w:t>
      </w:r>
    </w:p>
    <w:p w:rsidR="006F7C4C" w:rsidRPr="00A7159B" w:rsidRDefault="006F7C4C" w:rsidP="00AA30BC">
      <w:pPr>
        <w:tabs>
          <w:tab w:val="left" w:pos="3261"/>
        </w:tabs>
        <w:wordWrap/>
        <w:adjustRightInd w:val="0"/>
        <w:snapToGrid w:val="0"/>
        <w:spacing w:line="360" w:lineRule="auto"/>
        <w:rPr>
          <w:rFonts w:ascii="Arial" w:hAnsi="Arial" w:cs="Arial"/>
          <w:b/>
          <w:bCs/>
          <w:snapToGrid w:val="0"/>
          <w:sz w:val="24"/>
        </w:rPr>
      </w:pPr>
    </w:p>
    <w:p w:rsidR="006F7C4C" w:rsidRPr="00EA02A3" w:rsidRDefault="00A7159B" w:rsidP="00A7159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 xml:space="preserve">Changes for 3. </w:t>
      </w:r>
      <w:r w:rsidRPr="00A7159B">
        <w:rPr>
          <w:rFonts w:ascii="Times New Roman" w:eastAsia="바탕체" w:hAnsi="Times New Roman"/>
          <w:b/>
          <w:kern w:val="32"/>
          <w:sz w:val="28"/>
          <w:szCs w:val="28"/>
          <w:lang w:val="en-US" w:eastAsia="ko-KR"/>
        </w:rPr>
        <w:t>Definitions of terms, symbols and abbreviations</w:t>
      </w:r>
    </w:p>
    <w:p w:rsidR="006F7C4C" w:rsidRPr="00381A04" w:rsidRDefault="009763BF" w:rsidP="009763BF">
      <w:pPr>
        <w:widowControl/>
        <w:ind w:firstLine="360"/>
        <w:rPr>
          <w:rFonts w:ascii="Times New Roman"/>
          <w:szCs w:val="20"/>
        </w:rPr>
      </w:pPr>
      <w:r>
        <w:rPr>
          <w:rFonts w:ascii="Times New Roman"/>
          <w:szCs w:val="20"/>
        </w:rPr>
        <w:t>The current TR does not explain a number of abbreviations used in the annex</w:t>
      </w:r>
      <w:r w:rsidR="005077A4">
        <w:rPr>
          <w:rFonts w:ascii="Times New Roman"/>
          <w:szCs w:val="20"/>
        </w:rPr>
        <w:t>,</w:t>
      </w:r>
      <w:bookmarkStart w:id="2" w:name="_GoBack"/>
      <w:bookmarkEnd w:id="2"/>
      <w:r>
        <w:rPr>
          <w:rFonts w:ascii="Times New Roman"/>
          <w:szCs w:val="20"/>
        </w:rPr>
        <w:t xml:space="preserve"> including </w:t>
      </w:r>
      <w:r w:rsidRPr="009763BF">
        <w:rPr>
          <w:rFonts w:ascii="Times New Roman"/>
          <w:szCs w:val="20"/>
        </w:rPr>
        <w:t>TTFF</w:t>
      </w:r>
      <w:r>
        <w:rPr>
          <w:rFonts w:ascii="Times New Roman"/>
          <w:szCs w:val="20"/>
        </w:rPr>
        <w:t xml:space="preserve">, </w:t>
      </w:r>
      <w:r w:rsidRPr="009763BF">
        <w:rPr>
          <w:rFonts w:ascii="Times New Roman"/>
          <w:szCs w:val="20"/>
        </w:rPr>
        <w:t>HD</w:t>
      </w:r>
      <w:r>
        <w:rPr>
          <w:rFonts w:ascii="Times New Roman"/>
          <w:szCs w:val="20"/>
        </w:rPr>
        <w:t xml:space="preserve">, </w:t>
      </w:r>
      <w:r w:rsidRPr="009763BF">
        <w:rPr>
          <w:rFonts w:ascii="Times New Roman"/>
          <w:szCs w:val="20"/>
        </w:rPr>
        <w:t>CCTV</w:t>
      </w:r>
      <w:r>
        <w:rPr>
          <w:rFonts w:ascii="Times New Roman"/>
          <w:szCs w:val="20"/>
        </w:rPr>
        <w:t xml:space="preserve">, </w:t>
      </w:r>
      <w:r w:rsidRPr="009763BF">
        <w:rPr>
          <w:rFonts w:ascii="Times New Roman"/>
          <w:szCs w:val="20"/>
        </w:rPr>
        <w:t>AV</w:t>
      </w:r>
      <w:r>
        <w:rPr>
          <w:rFonts w:ascii="Times New Roman"/>
          <w:szCs w:val="20"/>
        </w:rPr>
        <w:t xml:space="preserve">, </w:t>
      </w:r>
      <w:r w:rsidRPr="009763BF">
        <w:rPr>
          <w:rFonts w:ascii="Times New Roman"/>
          <w:szCs w:val="20"/>
        </w:rPr>
        <w:t>RV</w:t>
      </w:r>
      <w:r>
        <w:rPr>
          <w:rFonts w:ascii="Times New Roman"/>
          <w:szCs w:val="20"/>
        </w:rPr>
        <w:t xml:space="preserve">, </w:t>
      </w:r>
      <w:r w:rsidRPr="009763BF">
        <w:rPr>
          <w:rFonts w:ascii="Times New Roman"/>
          <w:szCs w:val="20"/>
        </w:rPr>
        <w:t>TOD</w:t>
      </w:r>
      <w:r>
        <w:rPr>
          <w:rFonts w:ascii="Times New Roman"/>
          <w:szCs w:val="20"/>
        </w:rPr>
        <w:t xml:space="preserve">, </w:t>
      </w:r>
      <w:r w:rsidRPr="009763BF">
        <w:rPr>
          <w:rFonts w:ascii="Times New Roman"/>
          <w:szCs w:val="20"/>
        </w:rPr>
        <w:t>MCX</w:t>
      </w:r>
      <w:r>
        <w:rPr>
          <w:rFonts w:ascii="Times New Roman"/>
          <w:szCs w:val="20"/>
        </w:rPr>
        <w:t>. It is proposed to update Section 3.3 as in the enclosed changes.</w:t>
      </w:r>
    </w:p>
    <w:p w:rsidR="006F7C4C" w:rsidRDefault="006F7C4C" w:rsidP="00AA30BC">
      <w:pPr>
        <w:tabs>
          <w:tab w:val="left" w:pos="3261"/>
        </w:tabs>
        <w:wordWrap/>
        <w:adjustRightInd w:val="0"/>
        <w:snapToGrid w:val="0"/>
        <w:spacing w:line="360" w:lineRule="auto"/>
        <w:rPr>
          <w:rFonts w:ascii="Arial" w:hAnsi="Arial" w:cs="Arial"/>
          <w:b/>
          <w:bCs/>
          <w:snapToGrid w:val="0"/>
          <w:sz w:val="24"/>
          <w:lang w:val="de-DE"/>
        </w:rPr>
      </w:pPr>
    </w:p>
    <w:p w:rsidR="00A7159B" w:rsidRPr="00EA02A3" w:rsidRDefault="00A7159B" w:rsidP="00A7159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 xml:space="preserve">Changes for 4. </w:t>
      </w:r>
      <w:r w:rsidRPr="00A7159B">
        <w:rPr>
          <w:rFonts w:ascii="Times New Roman" w:eastAsia="바탕체" w:hAnsi="Times New Roman"/>
          <w:b/>
          <w:kern w:val="32"/>
          <w:sz w:val="28"/>
          <w:szCs w:val="28"/>
          <w:lang w:val="en-US" w:eastAsia="ko-KR"/>
        </w:rPr>
        <w:t>Positioning use cases and requirements</w:t>
      </w:r>
    </w:p>
    <w:p w:rsidR="00A7159B" w:rsidRDefault="009763BF" w:rsidP="00A7159B">
      <w:pPr>
        <w:widowControl/>
        <w:ind w:firstLine="360"/>
        <w:rPr>
          <w:rFonts w:ascii="Times New Roman"/>
          <w:szCs w:val="20"/>
        </w:rPr>
      </w:pPr>
      <w:r>
        <w:rPr>
          <w:rFonts w:ascii="Times New Roman"/>
          <w:szCs w:val="20"/>
        </w:rPr>
        <w:t>Section 4.2 has a note “FFS which set is applicable for absolute and relative positioning” for the three set of V2X positioning requirements copied below:</w:t>
      </w:r>
    </w:p>
    <w:tbl>
      <w:tblPr>
        <w:tblStyle w:val="aa"/>
        <w:tblW w:w="0" w:type="auto"/>
        <w:tblLook w:val="04A0" w:firstRow="1" w:lastRow="0" w:firstColumn="1" w:lastColumn="0" w:noHBand="0" w:noVBand="1"/>
      </w:tblPr>
      <w:tblGrid>
        <w:gridCol w:w="9362"/>
      </w:tblGrid>
      <w:tr w:rsidR="009763BF" w:rsidTr="009763BF">
        <w:tc>
          <w:tcPr>
            <w:tcW w:w="9362" w:type="dxa"/>
          </w:tcPr>
          <w:p w:rsidR="009763BF" w:rsidRPr="004937D4" w:rsidRDefault="009763BF" w:rsidP="009763BF">
            <w:pPr>
              <w:pStyle w:val="B1"/>
              <w:rPr>
                <w:lang w:eastAsia="ko-KR"/>
              </w:rPr>
            </w:pPr>
            <w:r>
              <w:rPr>
                <w:lang w:eastAsia="ko-KR"/>
              </w:rPr>
              <w:t>-</w:t>
            </w:r>
            <w:r>
              <w:rPr>
                <w:lang w:eastAsia="ko-KR"/>
              </w:rPr>
              <w:tab/>
            </w:r>
            <w:r w:rsidRPr="004937D4">
              <w:rPr>
                <w:lang w:eastAsia="ko-KR"/>
              </w:rPr>
              <w:t>Set 1: 10 – 50 m with 68 – 95 % confidence level. This includes Group 1 in [5] and Service level 1 in [3].</w:t>
            </w:r>
          </w:p>
          <w:p w:rsidR="009763BF" w:rsidRPr="004937D4" w:rsidRDefault="009763BF" w:rsidP="009763BF">
            <w:pPr>
              <w:pStyle w:val="B1"/>
              <w:rPr>
                <w:lang w:eastAsia="ko-KR"/>
              </w:rPr>
            </w:pPr>
            <w:r>
              <w:rPr>
                <w:lang w:eastAsia="ko-KR"/>
              </w:rPr>
              <w:t>-</w:t>
            </w:r>
            <w:r>
              <w:rPr>
                <w:lang w:eastAsia="ko-KR"/>
              </w:rPr>
              <w:tab/>
            </w:r>
            <w:r w:rsidRPr="004937D4">
              <w:rPr>
                <w:lang w:eastAsia="ko-KR"/>
              </w:rPr>
              <w:t>Set 2: 1 – 3 m with 95 – 99 % confidence level. This includes Group 2 in [5], Service level 2, 3, 4 in [3].</w:t>
            </w:r>
          </w:p>
          <w:p w:rsidR="009763BF" w:rsidRPr="009763BF" w:rsidRDefault="009763BF" w:rsidP="009763BF">
            <w:pPr>
              <w:pStyle w:val="B1"/>
              <w:rPr>
                <w:lang w:eastAsia="ko-KR"/>
              </w:rPr>
            </w:pPr>
            <w:r>
              <w:rPr>
                <w:lang w:eastAsia="ko-KR"/>
              </w:rPr>
              <w:t>-</w:t>
            </w:r>
            <w:r>
              <w:rPr>
                <w:lang w:eastAsia="ko-KR"/>
              </w:rPr>
              <w:tab/>
            </w:r>
            <w:r w:rsidRPr="004937D4">
              <w:rPr>
                <w:lang w:eastAsia="ko-KR"/>
              </w:rPr>
              <w:t>Set 3: 0.1 – 0.5 m with 95 – 99 % confidence level. This includes Group 3 in [5], Service level 5, 6, 7 in [3], the requirements in [4].</w:t>
            </w:r>
          </w:p>
        </w:tc>
      </w:tr>
    </w:tbl>
    <w:p w:rsidR="00D34AD4" w:rsidRDefault="009763BF" w:rsidP="00D34AD4">
      <w:pPr>
        <w:widowControl/>
        <w:rPr>
          <w:rFonts w:ascii="Times New Roman"/>
          <w:szCs w:val="20"/>
        </w:rPr>
      </w:pPr>
      <w:r>
        <w:rPr>
          <w:rFonts w:ascii="Times New Roman" w:hint="eastAsia"/>
          <w:szCs w:val="20"/>
        </w:rPr>
        <w:t xml:space="preserve">From </w:t>
      </w:r>
      <w:r>
        <w:rPr>
          <w:rFonts w:ascii="Times New Roman"/>
          <w:szCs w:val="20"/>
        </w:rPr>
        <w:t xml:space="preserve">Table </w:t>
      </w:r>
      <w:r w:rsidRPr="009763BF">
        <w:rPr>
          <w:rFonts w:ascii="Times New Roman"/>
          <w:szCs w:val="20"/>
        </w:rPr>
        <w:t>7.3.2.2-1</w:t>
      </w:r>
      <w:r>
        <w:rPr>
          <w:rFonts w:ascii="Times New Roman"/>
          <w:szCs w:val="20"/>
        </w:rPr>
        <w:t xml:space="preserve"> of TS 22.261 copied in Annex A of the TR, we can find that all the three sets are applicable to absolute positioning: Set 1 can include the positioning service level 1 (absolute positioning with the horizontal accuracy 10 m), Set 2 can include the positioning service level 2 </w:t>
      </w:r>
      <w:r w:rsidRPr="009763BF">
        <w:rPr>
          <w:rFonts w:ascii="Times New Roman"/>
          <w:szCs w:val="20"/>
        </w:rPr>
        <w:t xml:space="preserve">(absolute positioning with the horizontal accuracy </w:t>
      </w:r>
      <w:r>
        <w:rPr>
          <w:rFonts w:ascii="Times New Roman"/>
          <w:szCs w:val="20"/>
        </w:rPr>
        <w:t>3</w:t>
      </w:r>
      <w:r w:rsidRPr="009763BF">
        <w:rPr>
          <w:rFonts w:ascii="Times New Roman"/>
          <w:szCs w:val="20"/>
        </w:rPr>
        <w:t xml:space="preserve"> m)</w:t>
      </w:r>
      <w:r>
        <w:rPr>
          <w:rFonts w:ascii="Times New Roman"/>
          <w:szCs w:val="20"/>
        </w:rPr>
        <w:t xml:space="preserve"> and level 3 </w:t>
      </w:r>
      <w:r w:rsidRPr="009763BF">
        <w:rPr>
          <w:rFonts w:ascii="Times New Roman"/>
          <w:szCs w:val="20"/>
        </w:rPr>
        <w:t>(absolute positioning with the horizontal accuracy 1 m)</w:t>
      </w:r>
      <w:r>
        <w:rPr>
          <w:rFonts w:ascii="Times New Roman"/>
          <w:szCs w:val="20"/>
        </w:rPr>
        <w:t xml:space="preserve">, Set 3 can include the positioning service level </w:t>
      </w:r>
      <w:r w:rsidR="00BB1B60">
        <w:rPr>
          <w:rFonts w:ascii="Times New Roman"/>
          <w:szCs w:val="20"/>
        </w:rPr>
        <w:t xml:space="preserve">5 and 6 </w:t>
      </w:r>
      <w:r w:rsidR="00BB1B60" w:rsidRPr="00BB1B60">
        <w:rPr>
          <w:rFonts w:ascii="Times New Roman"/>
          <w:szCs w:val="20"/>
        </w:rPr>
        <w:t>(absolute positionin</w:t>
      </w:r>
      <w:r w:rsidR="00BB1B60">
        <w:rPr>
          <w:rFonts w:ascii="Times New Roman"/>
          <w:szCs w:val="20"/>
        </w:rPr>
        <w:t xml:space="preserve">g with the horizontal accuracy </w:t>
      </w:r>
      <w:r w:rsidR="00BB1B60" w:rsidRPr="00BB1B60">
        <w:rPr>
          <w:rFonts w:ascii="Times New Roman"/>
          <w:szCs w:val="20"/>
        </w:rPr>
        <w:t>0</w:t>
      </w:r>
      <w:r w:rsidR="00BB1B60">
        <w:rPr>
          <w:rFonts w:ascii="Times New Roman"/>
          <w:szCs w:val="20"/>
        </w:rPr>
        <w:t>.3</w:t>
      </w:r>
      <w:r w:rsidR="00BB1B60" w:rsidRPr="00BB1B60">
        <w:rPr>
          <w:rFonts w:ascii="Times New Roman"/>
          <w:szCs w:val="20"/>
        </w:rPr>
        <w:t xml:space="preserve"> m)</w:t>
      </w:r>
      <w:r w:rsidR="00BB1B60">
        <w:rPr>
          <w:rFonts w:ascii="Times New Roman"/>
          <w:szCs w:val="20"/>
        </w:rPr>
        <w:t xml:space="preserve">. For relative positioning, we can find that at least Set 3 </w:t>
      </w:r>
      <w:r w:rsidR="00D34AD4">
        <w:rPr>
          <w:rFonts w:ascii="Times New Roman"/>
          <w:szCs w:val="20"/>
        </w:rPr>
        <w:t>is</w:t>
      </w:r>
      <w:r w:rsidR="00BB1B60">
        <w:rPr>
          <w:rFonts w:ascii="Times New Roman"/>
          <w:szCs w:val="20"/>
        </w:rPr>
        <w:t xml:space="preserve"> applicable: </w:t>
      </w:r>
      <w:r w:rsidR="00D34AD4">
        <w:rPr>
          <w:rFonts w:ascii="Times New Roman"/>
          <w:szCs w:val="20"/>
        </w:rPr>
        <w:t>Set 3 can include the positioning service level 7 (relative positioning with the horizontal accuracy 0.2 m) as well as the requirements in TS 22.186 which indicate the relative positioning error of 0.1 m and 0.5 m.</w:t>
      </w:r>
    </w:p>
    <w:p w:rsidR="00BB1B60" w:rsidRPr="00BB1B60" w:rsidRDefault="00D34AD4" w:rsidP="00D34AD4">
      <w:pPr>
        <w:widowControl/>
        <w:ind w:firstLine="360"/>
        <w:rPr>
          <w:rFonts w:ascii="Times New Roman"/>
          <w:szCs w:val="20"/>
        </w:rPr>
      </w:pPr>
      <w:r>
        <w:rPr>
          <w:rFonts w:ascii="Times New Roman" w:hint="eastAsia"/>
          <w:szCs w:val="20"/>
        </w:rPr>
        <w:t xml:space="preserve">Based on this observation, it is proposed to delete </w:t>
      </w:r>
      <w:r>
        <w:rPr>
          <w:rFonts w:ascii="Times New Roman"/>
          <w:szCs w:val="20"/>
        </w:rPr>
        <w:t>the FFS in Section 4.2 and add the text explaining which sets are applicable to absolute and relative positioning as in the enclosed changes.</w:t>
      </w:r>
    </w:p>
    <w:p w:rsidR="006F7C4C" w:rsidRPr="00BB1B60" w:rsidRDefault="006F7C4C" w:rsidP="00BB1B60">
      <w:pPr>
        <w:widowControl/>
        <w:rPr>
          <w:rFonts w:ascii="Times New Roman"/>
          <w:szCs w:val="20"/>
        </w:rPr>
      </w:pPr>
    </w:p>
    <w:p w:rsidR="00A7159B" w:rsidRPr="00EA02A3" w:rsidRDefault="00A7159B" w:rsidP="00A7159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 xml:space="preserve">Changes for 5. </w:t>
      </w:r>
      <w:r w:rsidRPr="00A7159B">
        <w:rPr>
          <w:rFonts w:ascii="Times New Roman" w:eastAsia="바탕체" w:hAnsi="Times New Roman"/>
          <w:b/>
          <w:kern w:val="32"/>
          <w:sz w:val="28"/>
          <w:szCs w:val="28"/>
          <w:lang w:val="en-US" w:eastAsia="ko-KR"/>
        </w:rPr>
        <w:t>Potential deployment and operation scenarios</w:t>
      </w:r>
    </w:p>
    <w:p w:rsidR="00A7159B" w:rsidRDefault="00B073C7" w:rsidP="00A7159B">
      <w:pPr>
        <w:widowControl/>
        <w:ind w:firstLine="360"/>
        <w:rPr>
          <w:rFonts w:ascii="Times New Roman"/>
          <w:szCs w:val="20"/>
        </w:rPr>
      </w:pPr>
      <w:r>
        <w:rPr>
          <w:rFonts w:ascii="Times New Roman" w:hint="eastAsia"/>
          <w:szCs w:val="20"/>
        </w:rPr>
        <w:t xml:space="preserve">For this </w:t>
      </w:r>
      <w:r>
        <w:rPr>
          <w:rFonts w:ascii="Times New Roman"/>
          <w:szCs w:val="20"/>
        </w:rPr>
        <w:t>section</w:t>
      </w:r>
      <w:r>
        <w:rPr>
          <w:rFonts w:ascii="Times New Roman" w:hint="eastAsia"/>
          <w:szCs w:val="20"/>
        </w:rPr>
        <w:t>,</w:t>
      </w:r>
      <w:r>
        <w:rPr>
          <w:rFonts w:ascii="Times New Roman"/>
          <w:szCs w:val="20"/>
        </w:rPr>
        <w:t xml:space="preserve"> we firstly propose to agree what aspects will be included and how the section will be organized accordingly. Deployment and operation scenarios typically consist of the following aspects</w:t>
      </w:r>
      <w:r w:rsidR="005F0C0D">
        <w:rPr>
          <w:rFonts w:ascii="Times New Roman"/>
          <w:szCs w:val="20"/>
        </w:rPr>
        <w:t>:</w:t>
      </w:r>
    </w:p>
    <w:p w:rsidR="00B073C7" w:rsidRDefault="00B073C7" w:rsidP="00B073C7">
      <w:pPr>
        <w:pStyle w:val="B1"/>
        <w:spacing w:after="0"/>
        <w:rPr>
          <w:lang w:eastAsia="ko-KR"/>
        </w:rPr>
      </w:pPr>
      <w:r>
        <w:rPr>
          <w:lang w:eastAsia="ko-KR"/>
        </w:rPr>
        <w:t>- Network coverage scenarios (e.g., in-coverage, partial coverage, out-coverage)</w:t>
      </w:r>
    </w:p>
    <w:p w:rsidR="00B073C7" w:rsidRDefault="00B073C7" w:rsidP="00B073C7">
      <w:pPr>
        <w:pStyle w:val="B1"/>
        <w:spacing w:after="0"/>
        <w:rPr>
          <w:lang w:eastAsia="ko-KR"/>
        </w:rPr>
      </w:pPr>
      <w:r>
        <w:rPr>
          <w:lang w:eastAsia="ko-KR"/>
        </w:rPr>
        <w:t xml:space="preserve">- Radio link (e.g., uplink, downlink, </w:t>
      </w:r>
      <w:proofErr w:type="spellStart"/>
      <w:r>
        <w:rPr>
          <w:lang w:eastAsia="ko-KR"/>
        </w:rPr>
        <w:t>sidelink</w:t>
      </w:r>
      <w:proofErr w:type="spellEnd"/>
      <w:r>
        <w:rPr>
          <w:lang w:eastAsia="ko-KR"/>
        </w:rPr>
        <w:t>)</w:t>
      </w:r>
    </w:p>
    <w:p w:rsidR="00B073C7" w:rsidRDefault="00B073C7" w:rsidP="00B073C7">
      <w:pPr>
        <w:pStyle w:val="B1"/>
        <w:spacing w:after="0"/>
        <w:rPr>
          <w:lang w:eastAsia="ko-KR"/>
        </w:rPr>
      </w:pPr>
      <w:r>
        <w:rPr>
          <w:lang w:eastAsia="ko-KR"/>
        </w:rPr>
        <w:t xml:space="preserve">- </w:t>
      </w:r>
      <w:r w:rsidRPr="00B073C7">
        <w:rPr>
          <w:lang w:eastAsia="ko-KR"/>
        </w:rPr>
        <w:t>UE position calculation categories</w:t>
      </w:r>
      <w:r>
        <w:rPr>
          <w:lang w:eastAsia="ko-KR"/>
        </w:rPr>
        <w:t xml:space="preserve"> (e.g., network based, UE based)</w:t>
      </w:r>
    </w:p>
    <w:p w:rsidR="00B073C7" w:rsidRDefault="00B073C7" w:rsidP="00B073C7">
      <w:pPr>
        <w:pStyle w:val="B1"/>
        <w:spacing w:after="0"/>
        <w:rPr>
          <w:rFonts w:eastAsiaTheme="minorEastAsia"/>
          <w:lang w:eastAsia="ko-KR"/>
        </w:rPr>
      </w:pPr>
      <w:r>
        <w:rPr>
          <w:rFonts w:eastAsiaTheme="minorEastAsia" w:hint="eastAsia"/>
          <w:lang w:eastAsia="ko-KR"/>
        </w:rPr>
        <w:t>-</w:t>
      </w:r>
      <w:r>
        <w:rPr>
          <w:rFonts w:eastAsiaTheme="minorEastAsia"/>
          <w:lang w:eastAsia="ko-KR"/>
        </w:rPr>
        <w:t xml:space="preserve"> UE type considerations (e.g., vehicle UE, pedestrian UE, road side unit, UE power </w:t>
      </w:r>
      <w:proofErr w:type="gramStart"/>
      <w:r>
        <w:rPr>
          <w:rFonts w:eastAsiaTheme="minorEastAsia"/>
          <w:lang w:eastAsia="ko-KR"/>
        </w:rPr>
        <w:t>class, …)</w:t>
      </w:r>
      <w:proofErr w:type="gramEnd"/>
    </w:p>
    <w:p w:rsidR="00B073C7" w:rsidRPr="00B073C7" w:rsidRDefault="00B073C7" w:rsidP="00B073C7">
      <w:pPr>
        <w:pStyle w:val="B1"/>
        <w:spacing w:after="0"/>
        <w:rPr>
          <w:rFonts w:eastAsiaTheme="minorEastAsia"/>
          <w:lang w:eastAsia="ko-KR"/>
        </w:rPr>
      </w:pPr>
      <w:r>
        <w:rPr>
          <w:rFonts w:eastAsiaTheme="minorEastAsia"/>
          <w:lang w:eastAsia="ko-KR"/>
        </w:rPr>
        <w:t xml:space="preserve">- Spectrum (e.g., spectrum licensed to mobile operators, ITS dedicated </w:t>
      </w:r>
      <w:proofErr w:type="gramStart"/>
      <w:r>
        <w:rPr>
          <w:rFonts w:eastAsiaTheme="minorEastAsia"/>
          <w:lang w:eastAsia="ko-KR"/>
        </w:rPr>
        <w:t>spectrum, …)</w:t>
      </w:r>
      <w:proofErr w:type="gramEnd"/>
      <w:r w:rsidR="005F0C0D">
        <w:rPr>
          <w:rFonts w:eastAsiaTheme="minorEastAsia"/>
          <w:lang w:eastAsia="ko-KR"/>
        </w:rPr>
        <w:t>.</w:t>
      </w:r>
    </w:p>
    <w:p w:rsidR="00A7159B" w:rsidRDefault="005F0C0D" w:rsidP="00B073C7">
      <w:pPr>
        <w:widowControl/>
        <w:rPr>
          <w:rFonts w:ascii="Times New Roman"/>
          <w:szCs w:val="20"/>
        </w:rPr>
      </w:pPr>
      <w:r>
        <w:rPr>
          <w:rFonts w:ascii="Times New Roman"/>
          <w:szCs w:val="20"/>
        </w:rPr>
        <w:t xml:space="preserve">In our view, this aspects are mostly aligned with the five </w:t>
      </w:r>
      <w:r w:rsidR="00D17591">
        <w:rPr>
          <w:rFonts w:ascii="Times New Roman"/>
          <w:szCs w:val="20"/>
        </w:rPr>
        <w:t>components (</w:t>
      </w:r>
      <w:r w:rsidR="00D17591" w:rsidRPr="00D17591">
        <w:rPr>
          <w:rFonts w:ascii="Times New Roman"/>
          <w:szCs w:val="20"/>
        </w:rPr>
        <w:t>Spectrum aspects</w:t>
      </w:r>
      <w:r w:rsidR="00D17591">
        <w:rPr>
          <w:rFonts w:ascii="Times New Roman"/>
          <w:szCs w:val="20"/>
        </w:rPr>
        <w:t xml:space="preserve">, </w:t>
      </w:r>
      <w:r w:rsidR="00D17591" w:rsidRPr="00D17591">
        <w:rPr>
          <w:rFonts w:ascii="Times New Roman"/>
          <w:szCs w:val="20"/>
        </w:rPr>
        <w:t>Coverage of positioning</w:t>
      </w:r>
      <w:r w:rsidR="00D17591">
        <w:rPr>
          <w:rFonts w:ascii="Times New Roman"/>
          <w:szCs w:val="20"/>
        </w:rPr>
        <w:t xml:space="preserve">, </w:t>
      </w:r>
      <w:r w:rsidR="00D17591" w:rsidRPr="00D17591">
        <w:rPr>
          <w:rFonts w:ascii="Times New Roman"/>
          <w:szCs w:val="20"/>
        </w:rPr>
        <w:t>Radio link for positioning</w:t>
      </w:r>
      <w:r w:rsidR="00D17591">
        <w:rPr>
          <w:rFonts w:ascii="Times New Roman"/>
          <w:szCs w:val="20"/>
        </w:rPr>
        <w:t xml:space="preserve">, </w:t>
      </w:r>
      <w:r w:rsidR="00D17591" w:rsidRPr="00D17591">
        <w:rPr>
          <w:rFonts w:ascii="Times New Roman"/>
          <w:szCs w:val="20"/>
        </w:rPr>
        <w:t>Antenna topology</w:t>
      </w:r>
      <w:r w:rsidR="00D17591">
        <w:rPr>
          <w:rFonts w:ascii="Times New Roman"/>
          <w:szCs w:val="20"/>
        </w:rPr>
        <w:t xml:space="preserve">, </w:t>
      </w:r>
      <w:r w:rsidR="00D17591" w:rsidRPr="00D17591">
        <w:rPr>
          <w:rFonts w:ascii="Times New Roman"/>
          <w:szCs w:val="20"/>
        </w:rPr>
        <w:t>Cooperativeness</w:t>
      </w:r>
      <w:r w:rsidR="00D17591">
        <w:rPr>
          <w:rFonts w:ascii="Times New Roman"/>
          <w:szCs w:val="20"/>
        </w:rPr>
        <w:t>) that described the deployment/operation scenarios in [1]</w:t>
      </w:r>
      <w:r w:rsidR="00937EDE">
        <w:rPr>
          <w:rFonts w:ascii="Times New Roman"/>
          <w:szCs w:val="20"/>
        </w:rPr>
        <w:t>; the difference would be includ</w:t>
      </w:r>
      <w:r w:rsidR="001B20CC">
        <w:rPr>
          <w:rFonts w:ascii="Times New Roman"/>
          <w:szCs w:val="20"/>
        </w:rPr>
        <w:t>ing</w:t>
      </w:r>
      <w:r w:rsidR="00937EDE">
        <w:rPr>
          <w:rFonts w:ascii="Times New Roman"/>
          <w:szCs w:val="20"/>
        </w:rPr>
        <w:t xml:space="preserve"> Antenna topology in UE type considerations and includ</w:t>
      </w:r>
      <w:r w:rsidR="001B20CC">
        <w:rPr>
          <w:rFonts w:ascii="Times New Roman"/>
          <w:szCs w:val="20"/>
        </w:rPr>
        <w:t>ing</w:t>
      </w:r>
      <w:r w:rsidR="00937EDE">
        <w:rPr>
          <w:rFonts w:ascii="Times New Roman"/>
          <w:szCs w:val="20"/>
        </w:rPr>
        <w:t xml:space="preserve"> Cooperativeness in Radio link as a part of information sent via the radio link.</w:t>
      </w:r>
      <w:r w:rsidR="00D17591">
        <w:rPr>
          <w:rFonts w:ascii="Times New Roman"/>
          <w:szCs w:val="20"/>
        </w:rPr>
        <w:t xml:space="preserve"> </w:t>
      </w:r>
      <w:r w:rsidR="00937EDE">
        <w:rPr>
          <w:rFonts w:ascii="Times New Roman"/>
          <w:szCs w:val="20"/>
        </w:rPr>
        <w:t>T</w:t>
      </w:r>
      <w:r w:rsidR="00D17591">
        <w:rPr>
          <w:rFonts w:ascii="Times New Roman"/>
          <w:szCs w:val="20"/>
        </w:rPr>
        <w:t xml:space="preserve">herefore </w:t>
      </w:r>
      <w:r w:rsidR="00B073C7">
        <w:rPr>
          <w:rFonts w:ascii="Times New Roman"/>
          <w:szCs w:val="20"/>
        </w:rPr>
        <w:t>we propose to make each sub-section under Section 5.</w:t>
      </w:r>
    </w:p>
    <w:p w:rsidR="00B073C7" w:rsidRDefault="00B073C7" w:rsidP="00B073C7">
      <w:pPr>
        <w:widowControl/>
        <w:rPr>
          <w:rFonts w:ascii="Times New Roman"/>
          <w:szCs w:val="20"/>
        </w:rPr>
      </w:pPr>
    </w:p>
    <w:p w:rsidR="006676A4" w:rsidRPr="006676A4" w:rsidRDefault="006676A4" w:rsidP="006676A4">
      <w:pPr>
        <w:widowControl/>
        <w:ind w:firstLine="360"/>
        <w:rPr>
          <w:rFonts w:ascii="Times New Roman"/>
          <w:szCs w:val="20"/>
        </w:rPr>
      </w:pPr>
      <w:r>
        <w:rPr>
          <w:rFonts w:ascii="Times New Roman"/>
          <w:szCs w:val="20"/>
        </w:rPr>
        <w:t>After agreeing the structure of the section, it is proposed to add text that provides basic definitions and descriptions for each sub-section.</w:t>
      </w:r>
    </w:p>
    <w:p w:rsidR="00B073C7" w:rsidRPr="006676A4" w:rsidRDefault="00B073C7" w:rsidP="00B073C7">
      <w:pPr>
        <w:widowControl/>
        <w:rPr>
          <w:rFonts w:ascii="Times New Roman"/>
          <w:szCs w:val="20"/>
        </w:rPr>
      </w:pPr>
    </w:p>
    <w:p w:rsidR="006676A4" w:rsidRDefault="006676A4" w:rsidP="006676A4">
      <w:pPr>
        <w:widowControl/>
        <w:ind w:firstLine="360"/>
        <w:rPr>
          <w:rFonts w:ascii="Times New Roman"/>
          <w:szCs w:val="20"/>
        </w:rPr>
      </w:pPr>
      <w:r>
        <w:rPr>
          <w:rFonts w:ascii="Times New Roman" w:hint="eastAsia"/>
          <w:szCs w:val="20"/>
        </w:rPr>
        <w:t xml:space="preserve">For Network coverage scenarios, </w:t>
      </w:r>
      <w:r>
        <w:rPr>
          <w:rFonts w:ascii="Times New Roman"/>
          <w:szCs w:val="20"/>
        </w:rPr>
        <w:t xml:space="preserve">the three scenarios of </w:t>
      </w:r>
      <w:r w:rsidRPr="006676A4">
        <w:rPr>
          <w:rFonts w:ascii="Times New Roman"/>
          <w:szCs w:val="20"/>
        </w:rPr>
        <w:t>in-coverage, partial coverage, out-coverage</w:t>
      </w:r>
      <w:r>
        <w:rPr>
          <w:rFonts w:ascii="Times New Roman"/>
          <w:szCs w:val="20"/>
        </w:rPr>
        <w:t xml:space="preserve"> are actually describe how two communicating UEs are deployed in terms of the network coverage. In this sense, the partial coverage and out-coverage scenarios</w:t>
      </w:r>
      <w:r w:rsidR="00780647">
        <w:rPr>
          <w:rFonts w:ascii="Times New Roman"/>
          <w:szCs w:val="20"/>
        </w:rPr>
        <w:t xml:space="preserve"> are applicable only to the operations that utilize </w:t>
      </w:r>
      <w:proofErr w:type="spellStart"/>
      <w:r w:rsidR="00780647">
        <w:rPr>
          <w:rFonts w:ascii="Times New Roman"/>
          <w:szCs w:val="20"/>
        </w:rPr>
        <w:t>sidelin</w:t>
      </w:r>
      <w:r w:rsidR="001B20CC">
        <w:rPr>
          <w:rFonts w:ascii="Times New Roman"/>
          <w:szCs w:val="20"/>
        </w:rPr>
        <w:t>k</w:t>
      </w:r>
      <w:proofErr w:type="spellEnd"/>
      <w:r w:rsidR="001B20CC">
        <w:rPr>
          <w:rFonts w:ascii="Times New Roman"/>
          <w:szCs w:val="20"/>
        </w:rPr>
        <w:t>. This point can be clarified whe</w:t>
      </w:r>
      <w:r w:rsidR="00780647">
        <w:rPr>
          <w:rFonts w:ascii="Times New Roman"/>
          <w:szCs w:val="20"/>
        </w:rPr>
        <w:t>n creating the subsection.</w:t>
      </w:r>
    </w:p>
    <w:p w:rsidR="00B073C7" w:rsidRDefault="006676A4" w:rsidP="006676A4">
      <w:pPr>
        <w:widowControl/>
        <w:ind w:firstLine="360"/>
        <w:rPr>
          <w:rFonts w:ascii="Times New Roman"/>
          <w:szCs w:val="20"/>
        </w:rPr>
      </w:pPr>
      <w:r>
        <w:rPr>
          <w:rFonts w:ascii="Times New Roman"/>
          <w:szCs w:val="20"/>
        </w:rPr>
        <w:t xml:space="preserve">For </w:t>
      </w:r>
      <w:r w:rsidR="00B073C7" w:rsidRPr="00B073C7">
        <w:rPr>
          <w:rFonts w:ascii="Times New Roman"/>
          <w:szCs w:val="20"/>
        </w:rPr>
        <w:t>Radio link</w:t>
      </w:r>
      <w:r>
        <w:rPr>
          <w:rFonts w:ascii="Times New Roman"/>
          <w:szCs w:val="20"/>
        </w:rPr>
        <w:t xml:space="preserve">, </w:t>
      </w:r>
      <w:r w:rsidR="00780647">
        <w:rPr>
          <w:rFonts w:ascii="Times New Roman"/>
          <w:szCs w:val="20"/>
        </w:rPr>
        <w:t xml:space="preserve">the TR can explain that </w:t>
      </w:r>
      <w:r w:rsidR="00B073C7" w:rsidRPr="00B073C7">
        <w:rPr>
          <w:rFonts w:ascii="Times New Roman"/>
          <w:szCs w:val="20"/>
        </w:rPr>
        <w:t xml:space="preserve">uplink, downlink, </w:t>
      </w:r>
      <w:proofErr w:type="spellStart"/>
      <w:r w:rsidR="00B073C7" w:rsidRPr="00B073C7">
        <w:rPr>
          <w:rFonts w:ascii="Times New Roman"/>
          <w:szCs w:val="20"/>
        </w:rPr>
        <w:t>sidelink</w:t>
      </w:r>
      <w:proofErr w:type="spellEnd"/>
      <w:r w:rsidR="00B073C7" w:rsidRPr="00B073C7">
        <w:rPr>
          <w:rFonts w:ascii="Times New Roman"/>
          <w:szCs w:val="20"/>
        </w:rPr>
        <w:t xml:space="preserve"> </w:t>
      </w:r>
      <w:r w:rsidR="00780647">
        <w:rPr>
          <w:rFonts w:ascii="Times New Roman"/>
          <w:szCs w:val="20"/>
        </w:rPr>
        <w:t>and their mixture can be considered as the radio interface used for positioning. Although there was no explicit definition, the terms “</w:t>
      </w:r>
      <w:proofErr w:type="spellStart"/>
      <w:r w:rsidR="00780647">
        <w:rPr>
          <w:rFonts w:ascii="Times New Roman"/>
          <w:szCs w:val="20"/>
        </w:rPr>
        <w:t>sidelink</w:t>
      </w:r>
      <w:proofErr w:type="spellEnd"/>
      <w:r w:rsidR="00780647">
        <w:rPr>
          <w:rFonts w:ascii="Times New Roman"/>
          <w:szCs w:val="20"/>
        </w:rPr>
        <w:t xml:space="preserve"> based positioning” and “</w:t>
      </w:r>
      <w:proofErr w:type="spellStart"/>
      <w:r w:rsidR="00780647">
        <w:rPr>
          <w:rFonts w:ascii="Times New Roman"/>
          <w:szCs w:val="20"/>
        </w:rPr>
        <w:t>sidelink</w:t>
      </w:r>
      <w:proofErr w:type="spellEnd"/>
      <w:r w:rsidR="00780647">
        <w:rPr>
          <w:rFonts w:ascii="Times New Roman"/>
          <w:szCs w:val="20"/>
        </w:rPr>
        <w:t xml:space="preserve"> assisted positioning” have been used in 3GPP, for example, in the email discussion for Rel-17 positioning enhancements [</w:t>
      </w:r>
      <w:r w:rsidR="00D17591">
        <w:rPr>
          <w:rFonts w:ascii="Times New Roman"/>
          <w:szCs w:val="20"/>
        </w:rPr>
        <w:t>2</w:t>
      </w:r>
      <w:r w:rsidR="00780647">
        <w:rPr>
          <w:rFonts w:ascii="Times New Roman"/>
          <w:szCs w:val="20"/>
        </w:rPr>
        <w:t xml:space="preserve">], and thus it would be useful to define them clearly in the TR. We propose to define the </w:t>
      </w:r>
      <w:proofErr w:type="spellStart"/>
      <w:r w:rsidR="00780647">
        <w:rPr>
          <w:rFonts w:ascii="Times New Roman"/>
          <w:szCs w:val="20"/>
        </w:rPr>
        <w:t>sidelink</w:t>
      </w:r>
      <w:proofErr w:type="spellEnd"/>
      <w:r w:rsidR="00780647">
        <w:rPr>
          <w:rFonts w:ascii="Times New Roman"/>
          <w:szCs w:val="20"/>
        </w:rPr>
        <w:t xml:space="preserve"> based positioning as the positioning solutions that use only </w:t>
      </w:r>
      <w:proofErr w:type="spellStart"/>
      <w:r w:rsidR="00780647">
        <w:rPr>
          <w:rFonts w:ascii="Times New Roman"/>
          <w:szCs w:val="20"/>
        </w:rPr>
        <w:t>sidelink</w:t>
      </w:r>
      <w:proofErr w:type="spellEnd"/>
      <w:r w:rsidR="00780647">
        <w:rPr>
          <w:rFonts w:ascii="Times New Roman"/>
          <w:szCs w:val="20"/>
        </w:rPr>
        <w:t xml:space="preserve"> while the </w:t>
      </w:r>
      <w:proofErr w:type="spellStart"/>
      <w:r w:rsidR="00780647">
        <w:rPr>
          <w:rFonts w:ascii="Times New Roman"/>
          <w:szCs w:val="20"/>
        </w:rPr>
        <w:t>sidelink</w:t>
      </w:r>
      <w:proofErr w:type="spellEnd"/>
      <w:r w:rsidR="00780647">
        <w:rPr>
          <w:rFonts w:ascii="Times New Roman"/>
          <w:szCs w:val="20"/>
        </w:rPr>
        <w:t xml:space="preserve"> assisted positioning as the solutions where </w:t>
      </w:r>
      <w:proofErr w:type="spellStart"/>
      <w:r w:rsidR="00780647">
        <w:rPr>
          <w:rFonts w:ascii="Times New Roman"/>
          <w:szCs w:val="20"/>
        </w:rPr>
        <w:t>sidelink</w:t>
      </w:r>
      <w:proofErr w:type="spellEnd"/>
      <w:r w:rsidR="00780647">
        <w:rPr>
          <w:rFonts w:ascii="Times New Roman"/>
          <w:szCs w:val="20"/>
        </w:rPr>
        <w:t xml:space="preserve"> assist </w:t>
      </w:r>
      <w:proofErr w:type="spellStart"/>
      <w:r w:rsidR="00780647">
        <w:rPr>
          <w:rFonts w:ascii="Times New Roman"/>
          <w:szCs w:val="20"/>
        </w:rPr>
        <w:t>Uu</w:t>
      </w:r>
      <w:proofErr w:type="spellEnd"/>
      <w:r w:rsidR="00780647">
        <w:rPr>
          <w:rFonts w:ascii="Times New Roman"/>
          <w:szCs w:val="20"/>
        </w:rPr>
        <w:t>-based positioning</w:t>
      </w:r>
      <w:r w:rsidR="001B20CC">
        <w:rPr>
          <w:rFonts w:ascii="Times New Roman"/>
          <w:szCs w:val="20"/>
        </w:rPr>
        <w:t xml:space="preserve"> which utilizes uplink and/or downlink</w:t>
      </w:r>
      <w:r w:rsidR="00780647">
        <w:rPr>
          <w:rFonts w:ascii="Times New Roman"/>
          <w:szCs w:val="20"/>
        </w:rPr>
        <w:t xml:space="preserve">. As the role </w:t>
      </w:r>
      <w:r w:rsidR="001B20CC">
        <w:rPr>
          <w:rFonts w:ascii="Times New Roman"/>
          <w:szCs w:val="20"/>
        </w:rPr>
        <w:t>of</w:t>
      </w:r>
      <w:r w:rsidR="00780647">
        <w:rPr>
          <w:rFonts w:ascii="Times New Roman"/>
          <w:szCs w:val="20"/>
        </w:rPr>
        <w:t xml:space="preserve"> radio interface, the TR can explain that the positioning reference signals can be transmitted via the radio interface in RAT dependent positioning while the positioning assistance data can be sent in RAT independent positioning.</w:t>
      </w:r>
    </w:p>
    <w:p w:rsidR="00B073C7" w:rsidRDefault="00B073C7" w:rsidP="006676A4">
      <w:pPr>
        <w:widowControl/>
        <w:ind w:firstLine="360"/>
        <w:rPr>
          <w:rFonts w:ascii="Times New Roman"/>
          <w:szCs w:val="20"/>
        </w:rPr>
      </w:pPr>
      <w:r w:rsidRPr="00B073C7">
        <w:rPr>
          <w:rFonts w:ascii="Times New Roman"/>
          <w:szCs w:val="20"/>
        </w:rPr>
        <w:t>UE</w:t>
      </w:r>
      <w:r w:rsidR="005F0C0D">
        <w:rPr>
          <w:rFonts w:ascii="Times New Roman"/>
          <w:szCs w:val="20"/>
        </w:rPr>
        <w:t xml:space="preserve"> position calculation category </w:t>
      </w:r>
      <w:r w:rsidRPr="00B073C7">
        <w:rPr>
          <w:rFonts w:ascii="Times New Roman"/>
          <w:szCs w:val="20"/>
        </w:rPr>
        <w:t>is about which entity calculates the UE position. So far 3GPP</w:t>
      </w:r>
      <w:r w:rsidR="005F0C0D">
        <w:rPr>
          <w:rFonts w:ascii="Times New Roman"/>
          <w:szCs w:val="20"/>
        </w:rPr>
        <w:t xml:space="preserve"> have defined</w:t>
      </w:r>
      <w:r w:rsidRPr="00B073C7">
        <w:rPr>
          <w:rFonts w:ascii="Times New Roman"/>
          <w:szCs w:val="20"/>
        </w:rPr>
        <w:t xml:space="preserve"> network-based and UE-based positioning</w:t>
      </w:r>
      <w:r w:rsidR="005F0C0D">
        <w:rPr>
          <w:rFonts w:ascii="Times New Roman"/>
          <w:szCs w:val="20"/>
        </w:rPr>
        <w:t xml:space="preserve"> based on whether the position is estimated in the network or UE. The same definition can be used in this TR as well.</w:t>
      </w:r>
    </w:p>
    <w:p w:rsidR="005F0C0D" w:rsidRDefault="005F0C0D" w:rsidP="006676A4">
      <w:pPr>
        <w:widowControl/>
        <w:ind w:firstLine="360"/>
        <w:rPr>
          <w:rFonts w:ascii="Times New Roman"/>
          <w:szCs w:val="20"/>
        </w:rPr>
      </w:pPr>
      <w:r>
        <w:rPr>
          <w:rFonts w:ascii="Times New Roman" w:hint="eastAsia"/>
          <w:szCs w:val="20"/>
        </w:rPr>
        <w:t xml:space="preserve">In UE type considerations, </w:t>
      </w:r>
      <w:r>
        <w:rPr>
          <w:rFonts w:ascii="Times New Roman"/>
          <w:szCs w:val="20"/>
        </w:rPr>
        <w:t xml:space="preserve">the TR can firstly explain that the scenario can consider UEs in moving devices like vehicle and pedestrian UEs as well as UEs in fixed devices like road side units. Further, it can be noted that the fixed UEs can be the references when the positioning scheme calculates the absolute position of a </w:t>
      </w:r>
      <w:r w:rsidR="00E63B2A">
        <w:rPr>
          <w:rFonts w:ascii="Times New Roman"/>
          <w:szCs w:val="20"/>
        </w:rPr>
        <w:t xml:space="preserve">moving </w:t>
      </w:r>
      <w:r>
        <w:rPr>
          <w:rFonts w:ascii="Times New Roman"/>
          <w:szCs w:val="20"/>
        </w:rPr>
        <w:t xml:space="preserve">UE using </w:t>
      </w:r>
      <w:proofErr w:type="spellStart"/>
      <w:r>
        <w:rPr>
          <w:rFonts w:ascii="Times New Roman"/>
          <w:szCs w:val="20"/>
        </w:rPr>
        <w:t>sidelink</w:t>
      </w:r>
      <w:proofErr w:type="spellEnd"/>
      <w:r>
        <w:rPr>
          <w:rFonts w:ascii="Times New Roman"/>
          <w:szCs w:val="20"/>
        </w:rPr>
        <w:t xml:space="preserve">. In addition, computational capability and battery capacity can be different in different UE types especially considering vehicle UEs and pedestrian UEs. </w:t>
      </w:r>
      <w:r w:rsidR="00D17591">
        <w:rPr>
          <w:rFonts w:ascii="Times New Roman"/>
          <w:szCs w:val="20"/>
        </w:rPr>
        <w:t xml:space="preserve">As mentioned in [1], </w:t>
      </w:r>
      <w:r>
        <w:rPr>
          <w:rFonts w:ascii="Times New Roman"/>
          <w:szCs w:val="20"/>
        </w:rPr>
        <w:t xml:space="preserve">some </w:t>
      </w:r>
      <w:r w:rsidR="00D17591">
        <w:rPr>
          <w:rFonts w:ascii="Times New Roman"/>
          <w:szCs w:val="20"/>
        </w:rPr>
        <w:t xml:space="preserve">vehicles can be equipped with a distributed antenna systems and the TR can explain such antenna deployment property with a reference to [3] which includes more detailed evaluation assumptions for the distributed antenna in a vehicle. The TR can also mention that some UEs in public safety is capable of higher transmit power (i.e., Power class 1 whose maximum power is 31 </w:t>
      </w:r>
      <w:proofErr w:type="spellStart"/>
      <w:r w:rsidR="00D17591">
        <w:rPr>
          <w:rFonts w:ascii="Times New Roman"/>
          <w:szCs w:val="20"/>
        </w:rPr>
        <w:t>dBm</w:t>
      </w:r>
      <w:proofErr w:type="spellEnd"/>
      <w:r w:rsidR="00D17591">
        <w:rPr>
          <w:rFonts w:ascii="Times New Roman"/>
          <w:szCs w:val="20"/>
        </w:rPr>
        <w:t>).</w:t>
      </w:r>
    </w:p>
    <w:p w:rsidR="00D17591" w:rsidRDefault="00D17591" w:rsidP="006676A4">
      <w:pPr>
        <w:widowControl/>
        <w:ind w:firstLine="360"/>
        <w:rPr>
          <w:rFonts w:ascii="Times New Roman"/>
          <w:szCs w:val="20"/>
        </w:rPr>
      </w:pPr>
      <w:r>
        <w:rPr>
          <w:rFonts w:ascii="Times New Roman"/>
          <w:szCs w:val="20"/>
        </w:rPr>
        <w:t xml:space="preserve">For spectrum, the next in [1] can be mostly reused for V2X use cases: </w:t>
      </w:r>
      <w:r w:rsidRPr="00D17591">
        <w:rPr>
          <w:rFonts w:ascii="Times New Roman"/>
          <w:szCs w:val="20"/>
        </w:rPr>
        <w:t>the ITS-dedicated spectrum, the spectrum licensed to mobile network operators (including FR2), and the unlicensed spectrum can be considered</w:t>
      </w:r>
      <w:r>
        <w:rPr>
          <w:rFonts w:ascii="Times New Roman"/>
          <w:szCs w:val="20"/>
        </w:rPr>
        <w:t>. In public safety case, the spectrum considered for the use case (e.g., n14) can be the starting point.</w:t>
      </w:r>
    </w:p>
    <w:p w:rsidR="00B073C7" w:rsidRPr="00B073C7" w:rsidRDefault="00B073C7" w:rsidP="00B073C7">
      <w:pPr>
        <w:widowControl/>
        <w:rPr>
          <w:rFonts w:ascii="Times New Roman"/>
          <w:szCs w:val="20"/>
        </w:rPr>
      </w:pPr>
    </w:p>
    <w:p w:rsidR="00A7159B" w:rsidRPr="00EA02A3" w:rsidRDefault="00A7159B" w:rsidP="00A7159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Other aspects</w:t>
      </w:r>
    </w:p>
    <w:p w:rsidR="00A7159B" w:rsidRPr="00381A04" w:rsidRDefault="000D627C" w:rsidP="00A7159B">
      <w:pPr>
        <w:widowControl/>
        <w:ind w:firstLine="360"/>
        <w:rPr>
          <w:rFonts w:ascii="Times New Roman"/>
          <w:szCs w:val="20"/>
        </w:rPr>
      </w:pPr>
      <w:r w:rsidRPr="000D627C">
        <w:rPr>
          <w:rFonts w:ascii="Times New Roman"/>
          <w:szCs w:val="20"/>
        </w:rPr>
        <w:t>SAE Advanced Applications Technical Committee requested RAN to provide a copy of TR 38.845 when it is presented for information to RAN [</w:t>
      </w:r>
      <w:r w:rsidR="00D17591">
        <w:rPr>
          <w:rFonts w:ascii="Times New Roman"/>
          <w:szCs w:val="20"/>
        </w:rPr>
        <w:t>4</w:t>
      </w:r>
      <w:r w:rsidRPr="000D627C">
        <w:rPr>
          <w:rFonts w:ascii="Times New Roman"/>
          <w:szCs w:val="20"/>
        </w:rPr>
        <w:t>]. As the TR will be finalized in the next RAN meeting, it is proposed to send the version of TR 38.845 updated in this meeting.</w:t>
      </w:r>
    </w:p>
    <w:p w:rsidR="00A7159B" w:rsidRPr="00A7159B" w:rsidRDefault="00A7159B" w:rsidP="00AA30BC">
      <w:pPr>
        <w:tabs>
          <w:tab w:val="left" w:pos="3261"/>
        </w:tabs>
        <w:wordWrap/>
        <w:adjustRightInd w:val="0"/>
        <w:snapToGrid w:val="0"/>
        <w:spacing w:line="360" w:lineRule="auto"/>
        <w:rPr>
          <w:rFonts w:ascii="Arial" w:hAnsi="Arial" w:cs="Arial"/>
          <w:b/>
          <w:bCs/>
          <w:snapToGrid w:val="0"/>
          <w:sz w:val="24"/>
        </w:rPr>
      </w:pPr>
    </w:p>
    <w:p w:rsidR="00D17591" w:rsidRPr="00EA02A3" w:rsidRDefault="00D17591" w:rsidP="00D17591">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Other aspects</w:t>
      </w:r>
    </w:p>
    <w:p w:rsidR="00A7159B" w:rsidRDefault="00D17591" w:rsidP="00D17591">
      <w:pPr>
        <w:widowControl/>
        <w:ind w:firstLine="360"/>
        <w:rPr>
          <w:rFonts w:ascii="Times New Roman"/>
          <w:szCs w:val="20"/>
        </w:rPr>
      </w:pPr>
      <w:r w:rsidRPr="00D17591">
        <w:rPr>
          <w:rFonts w:ascii="Times New Roman" w:hint="eastAsia"/>
          <w:szCs w:val="20"/>
        </w:rPr>
        <w:t>This</w:t>
      </w:r>
      <w:r>
        <w:rPr>
          <w:rFonts w:ascii="Times New Roman"/>
          <w:szCs w:val="20"/>
        </w:rPr>
        <w:t xml:space="preserve"> document discussed the changes to update Section 3 and 4 of TR 38.845 as well as to make the structure and basic definition/description in Section </w:t>
      </w:r>
      <w:r w:rsidR="00937EDE">
        <w:rPr>
          <w:rFonts w:ascii="Times New Roman"/>
          <w:szCs w:val="20"/>
        </w:rPr>
        <w:t>5. It is proposed to adopt the changes proposed in the enclosed file. Also, this document proposes to send the updated TR 38.845 to the relevant organizations as per their request.</w:t>
      </w:r>
    </w:p>
    <w:p w:rsidR="00D17591" w:rsidRPr="00D17591" w:rsidRDefault="00D17591" w:rsidP="00D17591">
      <w:pPr>
        <w:widowControl/>
        <w:ind w:firstLine="360"/>
        <w:rPr>
          <w:rFonts w:ascii="Times New Roman"/>
          <w:szCs w:val="20"/>
        </w:rPr>
      </w:pPr>
    </w:p>
    <w:p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References</w:t>
      </w:r>
    </w:p>
    <w:p w:rsidR="00D17591" w:rsidRDefault="00D17591" w:rsidP="00D17591">
      <w:pPr>
        <w:pStyle w:val="af4"/>
        <w:numPr>
          <w:ilvl w:val="0"/>
          <w:numId w:val="14"/>
        </w:numPr>
        <w:spacing w:after="0"/>
        <w:ind w:leftChars="0"/>
        <w:rPr>
          <w:rFonts w:ascii="Times New Roman" w:eastAsia="바탕체" w:hAnsi="Times New Roman"/>
          <w:lang w:eastAsia="zh-CN"/>
        </w:rPr>
      </w:pPr>
      <w:r w:rsidRPr="00D17591">
        <w:rPr>
          <w:rFonts w:ascii="Times New Roman" w:eastAsia="바탕체" w:hAnsi="Times New Roman"/>
          <w:lang w:eastAsia="zh-CN"/>
        </w:rPr>
        <w:t>RP-210040</w:t>
      </w:r>
      <w:r>
        <w:rPr>
          <w:rFonts w:ascii="Times New Roman" w:eastAsia="바탕체" w:hAnsi="Times New Roman"/>
          <w:lang w:eastAsia="zh-CN"/>
        </w:rPr>
        <w:t>, “</w:t>
      </w:r>
      <w:r w:rsidRPr="00D17591">
        <w:rPr>
          <w:rFonts w:ascii="Times New Roman" w:eastAsia="바탕체" w:hAnsi="Times New Roman"/>
          <w:lang w:eastAsia="zh-CN"/>
        </w:rPr>
        <w:t>LS reply to 3GPP RAN on requirements of in-coverage, partial coverage, and out-of-coverage positioning use cases</w:t>
      </w:r>
      <w:r>
        <w:rPr>
          <w:rFonts w:ascii="Times New Roman" w:eastAsia="바탕체" w:hAnsi="Times New Roman"/>
          <w:lang w:eastAsia="zh-CN"/>
        </w:rPr>
        <w:t>,” 5GAA.</w:t>
      </w:r>
    </w:p>
    <w:p w:rsidR="00780647" w:rsidRDefault="00780647" w:rsidP="00780647">
      <w:pPr>
        <w:pStyle w:val="af4"/>
        <w:numPr>
          <w:ilvl w:val="0"/>
          <w:numId w:val="14"/>
        </w:numPr>
        <w:spacing w:after="0"/>
        <w:ind w:leftChars="0"/>
        <w:rPr>
          <w:rFonts w:ascii="Times New Roman" w:eastAsia="바탕체" w:hAnsi="Times New Roman"/>
          <w:lang w:eastAsia="zh-CN"/>
        </w:rPr>
      </w:pPr>
      <w:r w:rsidRPr="00780647">
        <w:rPr>
          <w:rFonts w:ascii="Times New Roman" w:eastAsia="바탕체" w:hAnsi="Times New Roman" w:hint="eastAsia"/>
          <w:lang w:eastAsia="zh-CN"/>
        </w:rPr>
        <w:t>RP-192412</w:t>
      </w:r>
      <w:r>
        <w:rPr>
          <w:rFonts w:ascii="Times New Roman" w:eastAsia="바탕체" w:hAnsi="Times New Roman"/>
          <w:lang w:eastAsia="zh-CN"/>
        </w:rPr>
        <w:t>, “</w:t>
      </w:r>
      <w:r w:rsidRPr="00780647">
        <w:rPr>
          <w:rFonts w:ascii="Times New Roman" w:eastAsia="바탕체" w:hAnsi="Times New Roman"/>
          <w:lang w:eastAsia="zh-CN"/>
        </w:rPr>
        <w:t>Email summary on NR positioning</w:t>
      </w:r>
      <w:r>
        <w:rPr>
          <w:rFonts w:ascii="Times New Roman" w:eastAsia="바탕체" w:hAnsi="Times New Roman"/>
          <w:lang w:eastAsia="zh-CN"/>
        </w:rPr>
        <w:t xml:space="preserve">,” </w:t>
      </w:r>
      <w:r w:rsidRPr="00780647">
        <w:rPr>
          <w:rFonts w:ascii="Times New Roman" w:eastAsia="바탕체" w:hAnsi="Times New Roman"/>
          <w:lang w:eastAsia="zh-CN"/>
        </w:rPr>
        <w:t>Qualcomm Incorporated (Moderator)</w:t>
      </w:r>
      <w:r>
        <w:rPr>
          <w:rFonts w:ascii="Times New Roman" w:eastAsia="바탕체" w:hAnsi="Times New Roman"/>
          <w:lang w:eastAsia="zh-CN"/>
        </w:rPr>
        <w:t>.</w:t>
      </w:r>
    </w:p>
    <w:p w:rsidR="00D17591" w:rsidRDefault="00D17591" w:rsidP="00D17591">
      <w:pPr>
        <w:pStyle w:val="af4"/>
        <w:numPr>
          <w:ilvl w:val="0"/>
          <w:numId w:val="14"/>
        </w:numPr>
        <w:spacing w:after="0"/>
        <w:ind w:leftChars="0"/>
        <w:rPr>
          <w:rFonts w:ascii="Times New Roman" w:eastAsia="바탕체" w:hAnsi="Times New Roman"/>
          <w:lang w:eastAsia="zh-CN"/>
        </w:rPr>
      </w:pPr>
      <w:r>
        <w:rPr>
          <w:rFonts w:ascii="Times New Roman" w:eastAsia="바탕체" w:hAnsi="Times New Roman"/>
          <w:lang w:eastAsia="zh-CN"/>
        </w:rPr>
        <w:t>TR 37.885: “</w:t>
      </w:r>
      <w:r w:rsidRPr="00D17591">
        <w:rPr>
          <w:rFonts w:ascii="Times New Roman" w:eastAsia="바탕체" w:hAnsi="Times New Roman"/>
          <w:lang w:eastAsia="zh-CN"/>
        </w:rPr>
        <w:t>Study on evaluation methodology of new Vehicle-to-Everything (V2X) use cases for LTE and NR</w:t>
      </w:r>
      <w:r>
        <w:rPr>
          <w:rFonts w:ascii="Times New Roman" w:eastAsia="바탕체" w:hAnsi="Times New Roman"/>
          <w:lang w:eastAsia="zh-CN"/>
        </w:rPr>
        <w:t>.”</w:t>
      </w:r>
    </w:p>
    <w:p w:rsidR="00AA30BC" w:rsidRDefault="000C15E8" w:rsidP="000C15E8">
      <w:pPr>
        <w:pStyle w:val="af4"/>
        <w:numPr>
          <w:ilvl w:val="0"/>
          <w:numId w:val="14"/>
        </w:numPr>
        <w:spacing w:after="0"/>
        <w:ind w:leftChars="0"/>
        <w:rPr>
          <w:rFonts w:ascii="Times New Roman" w:eastAsia="바탕체" w:hAnsi="Times New Roman"/>
          <w:lang w:eastAsia="zh-CN"/>
        </w:rPr>
      </w:pPr>
      <w:r w:rsidRPr="000C15E8">
        <w:rPr>
          <w:rFonts w:ascii="Times New Roman" w:eastAsia="바탕체" w:hAnsi="Times New Roman"/>
          <w:lang w:eastAsia="zh-CN"/>
        </w:rPr>
        <w:t>RP-210036</w:t>
      </w:r>
      <w:r>
        <w:rPr>
          <w:rFonts w:ascii="Times New Roman" w:eastAsia="바탕체" w:hAnsi="Times New Roman"/>
          <w:lang w:eastAsia="zh-CN"/>
        </w:rPr>
        <w:t>, “</w:t>
      </w:r>
      <w:r w:rsidRPr="000C15E8">
        <w:rPr>
          <w:rFonts w:ascii="Times New Roman" w:eastAsia="바탕체" w:hAnsi="Times New Roman"/>
          <w:lang w:eastAsia="zh-CN"/>
        </w:rPr>
        <w:t>Reply LS to 3GPP TSG RAN on requirements of in-coverage, partial coverage and out-of-coverage positioning use cases</w:t>
      </w:r>
      <w:r>
        <w:rPr>
          <w:rFonts w:ascii="Times New Roman" w:eastAsia="바탕체" w:hAnsi="Times New Roman"/>
          <w:lang w:eastAsia="zh-CN"/>
        </w:rPr>
        <w:t xml:space="preserve">,” </w:t>
      </w:r>
      <w:r w:rsidRPr="000C15E8">
        <w:rPr>
          <w:rFonts w:ascii="Times New Roman" w:eastAsia="바탕체" w:hAnsi="Times New Roman"/>
          <w:lang w:eastAsia="zh-CN"/>
        </w:rPr>
        <w:t>SAE Advanced Applications Technical Committee</w:t>
      </w:r>
      <w:r>
        <w:rPr>
          <w:rFonts w:ascii="Times New Roman" w:eastAsia="바탕체" w:hAnsi="Times New Roman"/>
          <w:lang w:eastAsia="zh-CN"/>
        </w:rPr>
        <w:t>.</w:t>
      </w:r>
    </w:p>
    <w:p w:rsidR="00AA30BC" w:rsidRPr="00381A04" w:rsidRDefault="00AA30BC" w:rsidP="00AA30BC">
      <w:pPr>
        <w:tabs>
          <w:tab w:val="left" w:pos="3261"/>
        </w:tabs>
        <w:wordWrap/>
        <w:adjustRightInd w:val="0"/>
        <w:snapToGrid w:val="0"/>
        <w:spacing w:line="360" w:lineRule="auto"/>
        <w:rPr>
          <w:rFonts w:ascii="Arial" w:hAnsi="Arial" w:cs="Arial"/>
          <w:b/>
          <w:bCs/>
          <w:snapToGrid w:val="0"/>
          <w:sz w:val="24"/>
        </w:rPr>
      </w:pPr>
    </w:p>
    <w:p w:rsidR="00A173C3" w:rsidRPr="00AA30BC" w:rsidRDefault="00A173C3" w:rsidP="008B3B4B">
      <w:pPr>
        <w:widowControl/>
        <w:spacing w:before="100" w:beforeAutospacing="1" w:after="120"/>
        <w:rPr>
          <w:rFonts w:ascii="Calibri" w:hAnsi="Calibri" w:cs="Calibri"/>
          <w:sz w:val="22"/>
        </w:rPr>
      </w:pPr>
    </w:p>
    <w:sectPr w:rsidR="00A173C3" w:rsidRPr="00AA30B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4DE" w:rsidRDefault="005E74DE">
      <w:r>
        <w:separator/>
      </w:r>
    </w:p>
  </w:endnote>
  <w:endnote w:type="continuationSeparator" w:id="0">
    <w:p w:rsidR="005E74DE" w:rsidRDefault="005E7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077A4">
      <w:rPr>
        <w:rStyle w:val="a8"/>
        <w:noProof/>
      </w:rPr>
      <w:t>2</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4DE" w:rsidRDefault="005E74DE">
      <w:r>
        <w:separator/>
      </w:r>
    </w:p>
  </w:footnote>
  <w:footnote w:type="continuationSeparator" w:id="0">
    <w:p w:rsidR="005E74DE" w:rsidRDefault="005E74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8"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1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
  </w:num>
  <w:num w:numId="3">
    <w:abstractNumId w:val="8"/>
  </w:num>
  <w:num w:numId="4">
    <w:abstractNumId w:val="13"/>
  </w:num>
  <w:num w:numId="5">
    <w:abstractNumId w:val="14"/>
  </w:num>
  <w:num w:numId="6">
    <w:abstractNumId w:val="7"/>
  </w:num>
  <w:num w:numId="7">
    <w:abstractNumId w:val="9"/>
  </w:num>
  <w:num w:numId="8">
    <w:abstractNumId w:val="6"/>
  </w:num>
  <w:num w:numId="9">
    <w:abstractNumId w:val="0"/>
  </w:num>
  <w:num w:numId="10">
    <w:abstractNumId w:val="12"/>
  </w:num>
  <w:num w:numId="11">
    <w:abstractNumId w:val="1"/>
  </w:num>
  <w:num w:numId="12">
    <w:abstractNumId w:val="5"/>
  </w:num>
  <w:num w:numId="13">
    <w:abstractNumId w:val="10"/>
  </w:num>
  <w:num w:numId="14">
    <w:abstractNumId w:val="11"/>
  </w:num>
  <w:num w:numId="1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15E8"/>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27C"/>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0CC"/>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4EE"/>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A4"/>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4DE"/>
    <w:rsid w:val="005E78C1"/>
    <w:rsid w:val="005E793E"/>
    <w:rsid w:val="005E7F79"/>
    <w:rsid w:val="005F07F8"/>
    <w:rsid w:val="005F0C0D"/>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676A4"/>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C4C"/>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859"/>
    <w:rsid w:val="00723C91"/>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0647"/>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37EDE"/>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63BF"/>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59B"/>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5D8"/>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3C7"/>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1B60"/>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1D"/>
    <w:rsid w:val="00BF74CC"/>
    <w:rsid w:val="00BF7BB6"/>
    <w:rsid w:val="00C004CA"/>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591"/>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AD4"/>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69E5"/>
    <w:rsid w:val="00D972A2"/>
    <w:rsid w:val="00D97877"/>
    <w:rsid w:val="00DA0072"/>
    <w:rsid w:val="00DA0A54"/>
    <w:rsid w:val="00DA1009"/>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3CD"/>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3B2A"/>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4B17"/>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B19E7-9A36-4D90-8400-A2939BB68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1148</Words>
  <Characters>6546</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78</cp:revision>
  <cp:lastPrinted>2014-01-26T05:26:00Z</cp:lastPrinted>
  <dcterms:created xsi:type="dcterms:W3CDTF">2020-02-17T08:04:00Z</dcterms:created>
  <dcterms:modified xsi:type="dcterms:W3CDTF">2021-06-07T09:38:00Z</dcterms:modified>
</cp:coreProperties>
</file>